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tabs>
          <w:tab w:val="left" w:pos="1134"/>
        </w:tabs>
        <w:spacing w:after="120" w:before="120" w:line="240" w:lineRule="auto"/>
        <w:rPr>
          <w:rFonts w:ascii="Arial" w:cs="Arial" w:eastAsia="Arial" w:hAnsi="Arial"/>
          <w:b w:val="1"/>
          <w:sz w:val="24"/>
          <w:szCs w:val="24"/>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rHeight w:val="492"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1"/>
              <w:spacing w:after="80" w:before="80" w:lineRule="auto"/>
              <w:ind w:left="142" w:firstLine="0"/>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receipt and time of receipt by the Authority (as evidenced within the Authority’s data warehouse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1"/>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receipt and time of receipt by the Authority (as evidenced within the Authority’s CODA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suppliers to provide a copy of each completed call-off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1"/>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to report metrics for Social Value and Environment initiatives.</w:t>
            </w:r>
          </w:p>
          <w:p w:rsidR="00000000" w:rsidDel="00000000" w:rsidP="00000000" w:rsidRDefault="00000000" w:rsidRPr="00000000" w14:paraId="0000003C">
            <w:pPr>
              <w:spacing w:after="80" w:before="80" w:line="24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(Metrics to be advised by CCS.)</w:t>
            </w:r>
          </w:p>
        </w:tc>
      </w:tr>
    </w:tbl>
    <w:p w:rsidR="00000000" w:rsidDel="00000000" w:rsidP="00000000" w:rsidRDefault="00000000" w:rsidRPr="00000000" w14:paraId="0000003F">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3">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4">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7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Vertical Application Solutions</w:t>
      <w:tab/>
      <w:t xml:space="preserve">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pwrnpPU2du9AN6cLIRresTng7g==">AMUW2mUV2fdTZkdL4unVZMziV615U+u/kY9SfdCjjUYefiJoBZ8FZS5zlcTFTKP2cAKHwjfpPszV0nYVLr2Sf0z8hFl5JGly3G3sFbRDSZrSZN/JY9nBMwkDwzZ9MJA8u+aKOuNQOKy+++IZUcnWMBQ1S+Usz3DldDIiXnWJSUpCCQqYpX7X6UzANNAcID1LABU2/oqTTeQ0I6smpaxhX1fZDW1XxZZavKXJX+Ryxp0uWQ1FtIFEkic=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